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福建邵化化工有限公司</w:t>
      </w:r>
      <w:r>
        <w:rPr>
          <w:rFonts w:hint="eastAsia" w:ascii="方正小标宋简体" w:hAnsi="方正小标宋简体" w:eastAsia="方正小标宋简体" w:cs="方正小标宋简体"/>
          <w:color w:val="auto"/>
          <w:sz w:val="44"/>
          <w:szCs w:val="44"/>
          <w:lang w:val="en-US" w:eastAsia="zh-CN"/>
        </w:rPr>
        <w:t>2026届校园</w:t>
      </w:r>
      <w:r>
        <w:rPr>
          <w:rFonts w:hint="eastAsia" w:ascii="方正小标宋简体" w:hAnsi="方正小标宋简体" w:eastAsia="方正小标宋简体" w:cs="方正小标宋简体"/>
          <w:color w:val="auto"/>
          <w:sz w:val="44"/>
          <w:szCs w:val="44"/>
        </w:rPr>
        <w:t>招聘公告</w:t>
      </w:r>
    </w:p>
    <w:p>
      <w:pPr>
        <w:keepNext w:val="0"/>
        <w:keepLines w:val="0"/>
        <w:pageBreakBefore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福建邵化化工有限公司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前身为福建省邵武化肥厂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自1965年开始筹建，1966年建成投产，</w:t>
      </w:r>
      <w:r>
        <w:rPr>
          <w:rFonts w:hint="eastAsia" w:ascii="仿宋_GB2312" w:hAnsi="仿宋_GB2312" w:eastAsia="仿宋_GB2312" w:cs="仿宋_GB2312"/>
          <w:color w:val="auto"/>
          <w:sz w:val="32"/>
          <w:szCs w:val="32"/>
          <w:highlight w:val="none"/>
        </w:rPr>
        <w:t>2009年9月改制为福建邵化化工有限公司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原福建省</w:t>
      </w:r>
      <w:r>
        <w:rPr>
          <w:rFonts w:hint="eastAsia" w:ascii="仿宋_GB2312" w:hAnsi="仿宋_GB2312" w:eastAsia="仿宋_GB2312" w:cs="仿宋_GB2312"/>
          <w:color w:val="auto"/>
          <w:sz w:val="32"/>
          <w:szCs w:val="32"/>
          <w:highlight w:val="none"/>
        </w:rPr>
        <w:t>机电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控股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有限责任</w:t>
      </w:r>
      <w:r>
        <w:rPr>
          <w:rFonts w:hint="eastAsia" w:ascii="仿宋_GB2312" w:hAnsi="仿宋_GB2312" w:eastAsia="仿宋_GB2312" w:cs="仿宋_GB2312"/>
          <w:color w:val="auto"/>
          <w:sz w:val="32"/>
          <w:szCs w:val="32"/>
          <w:highlight w:val="none"/>
        </w:rPr>
        <w:t>公司持有100％股权，履行控股股东国资监管职责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2025年5月归属福建省工业控股集团有限公司。</w:t>
      </w:r>
      <w:r>
        <w:rPr>
          <w:rFonts w:hint="eastAsia" w:ascii="仿宋_GB2312" w:hAnsi="仿宋_GB2312" w:eastAsia="仿宋_GB2312" w:cs="仿宋_GB2312"/>
          <w:color w:val="auto"/>
          <w:sz w:val="32"/>
          <w:szCs w:val="32"/>
        </w:rPr>
        <w:t>公司注册资本1.75亿元，占地48万平方米。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公司正全力推进技术升级与产能扩张，率先启动硝酸、硝酸铵部分的改扩建设工作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rPr>
        <w:t>项目总投资23亿元，占地约48万平方米，</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新增用地 367 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是华东南地区规模最大的硝酸铵生产企业。为</w:t>
      </w:r>
      <w:r>
        <w:rPr>
          <w:rFonts w:hint="eastAsia" w:ascii="仿宋_GB2312" w:hAnsi="仿宋_GB2312" w:eastAsia="仿宋_GB2312" w:cs="仿宋_GB2312"/>
          <w:color w:val="auto"/>
          <w:sz w:val="32"/>
          <w:szCs w:val="32"/>
          <w:lang w:val="en-US" w:eastAsia="zh-CN"/>
        </w:rPr>
        <w:t>淘汰落后生产工艺和产能，</w:t>
      </w:r>
      <w:r>
        <w:rPr>
          <w:rFonts w:hint="eastAsia" w:ascii="仿宋_GB2312" w:hAnsi="仿宋_GB2312" w:eastAsia="仿宋_GB2312" w:cs="仿宋_GB2312"/>
          <w:color w:val="auto"/>
          <w:sz w:val="32"/>
          <w:szCs w:val="32"/>
        </w:rPr>
        <w:t>推动产业转型升级，项目采用“双加压” 法硝酸</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先进工艺与智能控制系统，建设安全环保、绿色高效的现代化工基地。目前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硝酸、硝酸铵部分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项目进展顺利，</w:t>
      </w:r>
      <w:r>
        <w:rPr>
          <w:rFonts w:hint="eastAsia" w:ascii="仿宋_GB2312" w:hAnsi="仿宋_GB2312" w:eastAsia="仿宋_GB2312" w:cs="仿宋_GB2312"/>
          <w:color w:val="auto"/>
          <w:sz w:val="32"/>
          <w:szCs w:val="32"/>
          <w:lang w:val="en-US" w:eastAsia="zh-CN"/>
        </w:rPr>
        <w:t>中标单位已入住建设工地，</w:t>
      </w:r>
      <w:r>
        <w:rPr>
          <w:rFonts w:hint="eastAsia" w:ascii="仿宋_GB2312" w:hAnsi="仿宋_GB2312" w:eastAsia="仿宋_GB2312" w:cs="仿宋_GB2312"/>
          <w:color w:val="auto"/>
          <w:sz w:val="32"/>
          <w:szCs w:val="32"/>
        </w:rPr>
        <w:t>工期18个月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预计2026年底建成投产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建成后将显著提升产能与产品质量，预计</w:t>
      </w:r>
      <w:r>
        <w:rPr>
          <w:rFonts w:hint="eastAsia" w:ascii="仿宋_GB2312" w:hAnsi="仿宋_GB2312" w:eastAsia="仿宋_GB2312" w:cs="仿宋_GB2312"/>
          <w:color w:val="auto"/>
          <w:sz w:val="32"/>
          <w:szCs w:val="32"/>
          <w:lang w:val="en-US" w:eastAsia="zh-CN"/>
        </w:rPr>
        <w:t>年产硝酸27万吨、硝酸铵30万吨，</w:t>
      </w:r>
      <w:r>
        <w:rPr>
          <w:rFonts w:hint="eastAsia" w:ascii="仿宋_GB2312" w:hAnsi="仿宋_GB2312" w:eastAsia="仿宋_GB2312" w:cs="仿宋_GB2312"/>
          <w:color w:val="auto"/>
          <w:sz w:val="32"/>
          <w:szCs w:val="32"/>
        </w:rPr>
        <w:t xml:space="preserve">年销售收入 </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亿元，带动</w:t>
      </w:r>
      <w:r>
        <w:rPr>
          <w:rFonts w:hint="eastAsia" w:ascii="仿宋_GB2312" w:hAnsi="仿宋_GB2312" w:eastAsia="仿宋_GB2312" w:cs="仿宋_GB2312"/>
          <w:color w:val="auto"/>
          <w:sz w:val="32"/>
          <w:szCs w:val="32"/>
          <w:lang w:val="en-US" w:eastAsia="zh-CN"/>
        </w:rPr>
        <w:t>当地</w:t>
      </w:r>
      <w:r>
        <w:rPr>
          <w:rFonts w:hint="eastAsia" w:ascii="仿宋_GB2312" w:hAnsi="仿宋_GB2312" w:eastAsia="仿宋_GB2312" w:cs="仿宋_GB2312"/>
          <w:color w:val="auto"/>
          <w:sz w:val="32"/>
          <w:szCs w:val="32"/>
        </w:rPr>
        <w:t>就业，促进区域经济发展，致力于打造现代化智慧化工基地。</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现诚邀各位优秀学子加入，共同谱写高质量发展新篇章。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根据公司发展需要，计划公开招聘2026年应届毕业生18名（含2025年毕业生8人）人才充实相关岗位，现公告如下：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1.招聘对象：具有国家承认的符合招聘岗位要求学历的2025届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2026届</w:t>
      </w:r>
      <w:r>
        <w:rPr>
          <w:rFonts w:hint="eastAsia" w:ascii="仿宋_GB2312" w:hAnsi="仿宋_GB2312" w:eastAsia="仿宋_GB2312" w:cs="仿宋_GB2312"/>
          <w:color w:val="auto"/>
          <w:sz w:val="32"/>
          <w:szCs w:val="32"/>
        </w:rPr>
        <w:t>毕业生。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2.招聘条件：具有中华人民共和国国籍，拥护中国共产党的领导，热爱社会主义，遵纪守法，品行端正，身心健康，具备招聘岗位所需的条件，符合公务员录用体检标准。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曾因犯罪受过刑事处罚的人员和曾被开除公职的人员，人民法院通过司法程序认定的失信被执行人，在各级公务员招考、事业单位及国有企业公开招聘考试中被认定有舞弊等严重违反录用（招聘）纪律行为的人员，现役军人，在读的非应届毕业生，以及有法律规定不得聘用的人员，不得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4.具备岗位所需的学历、专业、职业（执业）资格或技能条件等；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考岗位要求的国内大学学历是指经教育部批准的具有普通高等教育招生资格的高等院校或科研院所、执行国家普通高等教育统一招生计划、通过国家统一招生考试录取的、按教学计划完成该学业，取得国家承认的学历文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内院校与国外院校联合办学取得国内学历学位的，按国内院校毕业生报考，应由国内院校出具相应的证明。属国内院校与国外院校联合办学取得国外学历学位的，需出具国家教育部留学服务中心的《联合办学学历学位评估意见书》或《联合办学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（3）留学回国人员、香港、澳门地区学习人员报考的，需提供国家教育部留学服务中心出具的《国外学历学位认证书》、《香港、澳门特别行政区学历学位认证书》。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5.其他条件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（1）招聘岗位要求的毕业证、学历（学位）证书须在202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年7月31日前取得。取得境外学历学位证书报名者应提供教育部留学服务中心出具的学历学位认证书，如确有特殊情况的，经核实后可适当延迟到202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年12月31日。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（2）职称、职（执）业资格等各项资格认定证书必须在202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年6月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日前取得。若已通过考试，但未取得证书者，须在面试前资格复核时，提供由相关部门出具的成绩单及是否通过考试的相关结论。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计划2026年应届毕业生</w:t>
      </w:r>
      <w:r>
        <w:rPr>
          <w:rFonts w:hint="eastAsia" w:ascii="黑体" w:hAnsi="黑体" w:eastAsia="黑体" w:cs="黑体"/>
          <w:color w:val="auto"/>
          <w:sz w:val="32"/>
          <w:szCs w:val="32"/>
        </w:rPr>
        <w:t>招聘岗位及专业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本次公开招聘</w:t>
      </w:r>
      <w:r>
        <w:rPr>
          <w:rFonts w:hint="eastAsia" w:ascii="仿宋_GB2312" w:hAnsi="仿宋_GB2312" w:eastAsia="仿宋_GB2312" w:cs="仿宋_GB2312"/>
          <w:color w:val="auto"/>
          <w:sz w:val="32"/>
          <w:szCs w:val="32"/>
          <w:lang w:val="en-US" w:eastAsia="zh-CN"/>
        </w:rPr>
        <w:t>现场</w:t>
      </w:r>
      <w:r>
        <w:rPr>
          <w:rFonts w:hint="eastAsia" w:ascii="仿宋_GB2312" w:hAnsi="仿宋_GB2312" w:eastAsia="仿宋_GB2312" w:cs="仿宋_GB2312"/>
          <w:color w:val="auto"/>
          <w:sz w:val="32"/>
          <w:szCs w:val="32"/>
        </w:rPr>
        <w:t>报名的方式，招聘程序按照</w:t>
      </w:r>
      <w:r>
        <w:rPr>
          <w:rFonts w:hint="eastAsia" w:ascii="仿宋_GB2312" w:hAnsi="仿宋_GB2312" w:eastAsia="仿宋_GB2312" w:cs="仿宋_GB2312"/>
          <w:color w:val="auto"/>
          <w:sz w:val="32"/>
          <w:szCs w:val="32"/>
          <w:lang w:val="en-US" w:eastAsia="zh-CN"/>
        </w:rPr>
        <w:t>省工控集团有关制度执行</w:t>
      </w:r>
      <w:r>
        <w:rPr>
          <w:rFonts w:hint="eastAsia" w:ascii="仿宋_GB2312" w:hAnsi="仿宋_GB2312" w:eastAsia="仿宋_GB2312" w:cs="仿宋_GB2312"/>
          <w:color w:val="auto"/>
          <w:sz w:val="32"/>
          <w:szCs w:val="32"/>
        </w:rPr>
        <w:t>。</w:t>
      </w:r>
    </w:p>
    <w:tbl>
      <w:tblPr>
        <w:tblStyle w:val="6"/>
        <w:tblpPr w:leftFromText="180" w:rightFromText="180" w:vertAnchor="text" w:horzAnchor="page" w:tblpX="1519" w:tblpY="160"/>
        <w:tblOverlap w:val="never"/>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15"/>
        <w:gridCol w:w="870"/>
        <w:gridCol w:w="1305"/>
        <w:gridCol w:w="1800"/>
        <w:gridCol w:w="213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b/>
                <w:bCs/>
                <w:color w:val="auto"/>
                <w:szCs w:val="21"/>
                <w:lang w:val="en-US" w:eastAsia="zh-CN"/>
              </w:rPr>
            </w:pPr>
            <w:r>
              <w:rPr>
                <w:rFonts w:hint="eastAsia" w:ascii="仿宋_GB2312" w:eastAsia="仿宋_GB2312"/>
                <w:b/>
                <w:bCs/>
                <w:color w:val="auto"/>
                <w:szCs w:val="21"/>
                <w:lang w:val="en-US" w:eastAsia="zh-CN"/>
              </w:rPr>
              <w:t>序号</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b/>
                <w:bCs/>
                <w:color w:val="auto"/>
                <w:szCs w:val="21"/>
                <w:lang w:val="en-US" w:eastAsia="zh-CN"/>
              </w:rPr>
            </w:pPr>
            <w:r>
              <w:rPr>
                <w:rFonts w:hint="eastAsia" w:ascii="仿宋_GB2312" w:eastAsia="仿宋_GB2312"/>
                <w:b/>
                <w:bCs/>
                <w:color w:val="auto"/>
                <w:szCs w:val="21"/>
                <w:lang w:val="en-US" w:eastAsia="zh-CN"/>
              </w:rPr>
              <w:t>岗位名称</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b/>
                <w:bCs/>
                <w:color w:val="auto"/>
                <w:szCs w:val="21"/>
              </w:rPr>
            </w:pPr>
            <w:r>
              <w:rPr>
                <w:rFonts w:hint="eastAsia" w:ascii="仿宋_GB2312" w:eastAsia="仿宋_GB2312"/>
                <w:b/>
                <w:bCs/>
                <w:color w:val="auto"/>
                <w:szCs w:val="21"/>
                <w:lang w:val="en-US" w:eastAsia="zh-CN"/>
              </w:rPr>
              <w:t>招聘人</w:t>
            </w:r>
            <w:r>
              <w:rPr>
                <w:rFonts w:hint="eastAsia" w:ascii="仿宋_GB2312" w:eastAsia="仿宋_GB2312"/>
                <w:b/>
                <w:bCs/>
                <w:color w:val="auto"/>
                <w:szCs w:val="21"/>
              </w:rPr>
              <w:t>数（人）</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b/>
                <w:bCs/>
                <w:color w:val="auto"/>
                <w:szCs w:val="21"/>
                <w:lang w:val="en-US" w:eastAsia="zh-CN"/>
              </w:rPr>
            </w:pPr>
            <w:r>
              <w:rPr>
                <w:rFonts w:hint="eastAsia" w:ascii="仿宋_GB2312" w:eastAsia="仿宋_GB2312"/>
                <w:b/>
                <w:bCs/>
                <w:color w:val="auto"/>
                <w:szCs w:val="21"/>
                <w:lang w:val="en-US" w:eastAsia="zh-CN"/>
              </w:rPr>
              <w:t>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b/>
                <w:bCs/>
                <w:color w:val="auto"/>
                <w:szCs w:val="21"/>
                <w:lang w:val="en-US" w:eastAsia="zh-CN"/>
              </w:rPr>
            </w:pPr>
            <w:r>
              <w:rPr>
                <w:rFonts w:hint="eastAsia" w:ascii="仿宋_GB2312" w:eastAsia="仿宋_GB2312"/>
                <w:b/>
                <w:bCs/>
                <w:color w:val="auto"/>
                <w:szCs w:val="21"/>
                <w:lang w:val="en-US" w:eastAsia="zh-CN"/>
              </w:rPr>
              <w:t>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仿宋_GB2312" w:eastAsia="仿宋_GB2312"/>
                <w:b/>
                <w:bCs/>
                <w:color w:val="auto"/>
                <w:szCs w:val="21"/>
                <w:lang w:val="en-US" w:eastAsia="zh-CN"/>
              </w:rPr>
            </w:pPr>
            <w:r>
              <w:rPr>
                <w:rFonts w:hint="eastAsia" w:ascii="仿宋_GB2312" w:eastAsia="仿宋_GB2312"/>
                <w:b/>
                <w:bCs/>
                <w:color w:val="auto"/>
                <w:szCs w:val="21"/>
                <w:lang w:val="en-US" w:eastAsia="zh-CN"/>
              </w:rPr>
              <w:t>岗位说明</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仿宋_GB2312" w:eastAsia="仿宋_GB2312"/>
                <w:b/>
                <w:bCs/>
                <w:color w:val="auto"/>
                <w:szCs w:val="21"/>
                <w:lang w:val="en-US" w:eastAsia="zh-CN"/>
              </w:rPr>
            </w:pPr>
            <w:r>
              <w:rPr>
                <w:rFonts w:hint="eastAsia" w:ascii="仿宋_GB2312" w:eastAsia="仿宋_GB2312"/>
                <w:b/>
                <w:bCs/>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生产部主办</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化学工程与工艺；土木工程等相关专业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生产工艺技术管理1名；现场日常基建维修管理1名</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2025年计划招聘未完成；现可招2025年未就业毕业生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动力分厂技术骨干</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电气工程及其自动化、机械设计制造及其自动化等相关专业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公司电气设备管理维护2名；生产设备管理维护1名</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2025年计划招聘未完成；现可招2025年未就业毕业生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企业管理部主办</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企业管理等相关专业；经济学等相关专业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企业管理1名；经济运行、招投标工作1名</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硝铵分厂技术骨干</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化学工程与工艺等相关专业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分厂生产工艺和技术管理</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5</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安全环保部主办</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2</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auto"/>
                <w:sz w:val="24"/>
                <w:szCs w:val="24"/>
              </w:rPr>
            </w:pPr>
            <w:r>
              <w:rPr>
                <w:rFonts w:hint="eastAsia" w:ascii="仿宋_GB2312" w:hAnsi="仿宋_GB2312" w:eastAsia="仿宋_GB2312" w:cs="仿宋_GB2312"/>
                <w:color w:val="auto"/>
                <w:sz w:val="24"/>
                <w:szCs w:val="24"/>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安全工程等相关专业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公司生产安全管理</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6</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技术部主办</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2</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仿宋_GB2312" w:eastAsia="仿宋_GB2312"/>
                <w:color w:val="auto"/>
                <w:sz w:val="24"/>
                <w:szCs w:val="24"/>
                <w:lang w:val="en-US"/>
              </w:rPr>
            </w:pPr>
            <w:r>
              <w:rPr>
                <w:rFonts w:hint="eastAsia" w:ascii="仿宋_GB2312" w:hAnsi="仿宋_GB2312" w:eastAsia="仿宋_GB2312" w:cs="仿宋_GB2312"/>
                <w:color w:val="auto"/>
                <w:sz w:val="24"/>
                <w:szCs w:val="24"/>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化学工程与工艺、电气工程及其自动化等相关专业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公司工艺管理1名、公司电气设备管理1名</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7</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市场部主办</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1</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仿宋_GB2312" w:eastAsia="仿宋_GB2312"/>
                <w:color w:val="auto"/>
                <w:sz w:val="24"/>
                <w:szCs w:val="24"/>
                <w:lang w:val="en-US"/>
              </w:rPr>
            </w:pPr>
            <w:r>
              <w:rPr>
                <w:rFonts w:hint="eastAsia" w:ascii="仿宋_GB2312" w:hAnsi="仿宋_GB2312" w:eastAsia="仿宋_GB2312" w:cs="仿宋_GB2312"/>
                <w:color w:val="auto"/>
                <w:sz w:val="24"/>
                <w:szCs w:val="24"/>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市场营销等相关专业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市场调研和销售管理</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2025年计划招聘未完成；现可招2025年未就业毕业生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8</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财务部主办</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1</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财务管理、会计学等相关专业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财务日常管理</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2025年计划招聘未完成；现可招2025年未就业毕业生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9</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法律事务室</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hAnsiTheme="minorHAnsi" w:cstheme="minorBidi"/>
                <w:color w:val="auto"/>
                <w:kern w:val="2"/>
                <w:sz w:val="24"/>
                <w:szCs w:val="24"/>
                <w:lang w:val="en-US" w:eastAsia="zh-CN" w:bidi="ar-SA"/>
              </w:rPr>
            </w:pPr>
            <w:r>
              <w:rPr>
                <w:rFonts w:hint="eastAsia" w:ascii="仿宋_GB2312" w:eastAsia="仿宋_GB2312" w:cstheme="minorBidi"/>
                <w:color w:val="auto"/>
                <w:kern w:val="2"/>
                <w:sz w:val="24"/>
                <w:szCs w:val="24"/>
                <w:lang w:val="en-US" w:eastAsia="zh-CN" w:bidi="ar-SA"/>
              </w:rPr>
              <w:t>1</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i w:val="0"/>
                <w:iCs w:val="0"/>
                <w:caps w:val="0"/>
                <w:color w:val="auto"/>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auto"/>
                <w:spacing w:val="0"/>
                <w:sz w:val="24"/>
                <w:szCs w:val="24"/>
                <w:shd w:val="clear" w:fill="FFFFFF"/>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hAnsiTheme="minorHAnsi" w:cstheme="minorBidi"/>
                <w:color w:val="auto"/>
                <w:kern w:val="2"/>
                <w:sz w:val="24"/>
                <w:szCs w:val="24"/>
                <w:lang w:val="en-US" w:eastAsia="zh-CN" w:bidi="ar-SA"/>
              </w:rPr>
            </w:pPr>
            <w:r>
              <w:rPr>
                <w:rFonts w:hint="eastAsia" w:ascii="仿宋_GB2312" w:eastAsia="仿宋_GB2312" w:cstheme="minorBidi"/>
                <w:color w:val="auto"/>
                <w:kern w:val="2"/>
                <w:sz w:val="24"/>
                <w:szCs w:val="24"/>
                <w:lang w:val="en-US" w:eastAsia="zh-CN" w:bidi="ar-SA"/>
              </w:rPr>
              <w:t>法学等相关专业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合规管理、法律维权</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2025年计划招聘未完成；现可招2025年未就业毕业生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10</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人力资源部主办</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stheme="minorBidi"/>
                <w:color w:val="auto"/>
                <w:kern w:val="2"/>
                <w:sz w:val="24"/>
                <w:szCs w:val="24"/>
                <w:lang w:val="en-US" w:eastAsia="zh-CN" w:bidi="ar-SA"/>
              </w:rPr>
            </w:pPr>
            <w:r>
              <w:rPr>
                <w:rFonts w:hint="eastAsia" w:ascii="仿宋_GB2312" w:eastAsia="仿宋_GB2312" w:cstheme="minorBidi"/>
                <w:color w:val="auto"/>
                <w:kern w:val="2"/>
                <w:sz w:val="24"/>
                <w:szCs w:val="24"/>
                <w:lang w:val="en-US" w:eastAsia="zh-CN" w:bidi="ar-SA"/>
              </w:rPr>
              <w:t>1</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i w:val="0"/>
                <w:iCs w:val="0"/>
                <w:caps w:val="0"/>
                <w:color w:val="auto"/>
                <w:spacing w:val="0"/>
                <w:kern w:val="0"/>
                <w:sz w:val="24"/>
                <w:szCs w:val="24"/>
                <w:shd w:val="clear" w:fill="FFFFFF"/>
                <w:lang w:val="en-US" w:eastAsia="zh-CN" w:bidi="ar"/>
              </w:rPr>
            </w:pPr>
            <w:r>
              <w:rPr>
                <w:rFonts w:hint="eastAsia" w:ascii="仿宋_GB2312" w:hAnsi="仿宋_GB2312" w:eastAsia="仿宋_GB2312" w:cs="仿宋_GB2312"/>
                <w:i w:val="0"/>
                <w:iCs w:val="0"/>
                <w:caps w:val="0"/>
                <w:color w:val="auto"/>
                <w:spacing w:val="0"/>
                <w:sz w:val="24"/>
                <w:szCs w:val="24"/>
                <w:shd w:val="clear" w:fill="FFFFFF"/>
                <w:lang w:val="en-US" w:eastAsia="zh-CN"/>
              </w:rPr>
              <w:t>全日制大学本科及以上学历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stheme="minorBidi"/>
                <w:color w:val="auto"/>
                <w:kern w:val="2"/>
                <w:sz w:val="24"/>
                <w:szCs w:val="24"/>
                <w:lang w:val="en-US" w:eastAsia="zh-CN" w:bidi="ar-SA"/>
              </w:rPr>
            </w:pPr>
            <w:r>
              <w:rPr>
                <w:rFonts w:hint="eastAsia" w:ascii="仿宋_GB2312" w:eastAsia="仿宋_GB2312" w:cstheme="minorBidi"/>
                <w:color w:val="auto"/>
                <w:kern w:val="2"/>
                <w:sz w:val="24"/>
                <w:szCs w:val="24"/>
                <w:lang w:val="en-US" w:eastAsia="zh-CN" w:bidi="ar-SA"/>
              </w:rPr>
              <w:t>人力资源</w:t>
            </w:r>
            <w:bookmarkStart w:id="0" w:name="_GoBack"/>
            <w:bookmarkEnd w:id="0"/>
            <w:r>
              <w:rPr>
                <w:rFonts w:hint="eastAsia" w:ascii="仿宋_GB2312" w:eastAsia="仿宋_GB2312" w:cstheme="minorBidi"/>
                <w:color w:val="auto"/>
                <w:kern w:val="2"/>
                <w:sz w:val="24"/>
                <w:szCs w:val="24"/>
                <w:lang w:val="en-US" w:eastAsia="zh-CN" w:bidi="ar-SA"/>
              </w:rPr>
              <w:t>管理等相关专业</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薪酬、员工培训</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olor w:val="auto"/>
                <w:sz w:val="24"/>
                <w:szCs w:val="24"/>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合计</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stheme="minorBidi"/>
                <w:color w:val="auto"/>
                <w:kern w:val="2"/>
                <w:sz w:val="24"/>
                <w:szCs w:val="24"/>
                <w:lang w:val="en-US" w:eastAsia="zh-CN" w:bidi="ar-SA"/>
              </w:rPr>
            </w:pPr>
            <w:r>
              <w:rPr>
                <w:rFonts w:hint="eastAsia" w:ascii="仿宋_GB2312" w:eastAsia="仿宋_GB2312" w:cstheme="minorBidi"/>
                <w:color w:val="auto"/>
                <w:kern w:val="2"/>
                <w:sz w:val="24"/>
                <w:szCs w:val="24"/>
                <w:lang w:val="en-US" w:eastAsia="zh-CN" w:bidi="ar-SA"/>
              </w:rPr>
              <w:t>18</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i w:val="0"/>
                <w:iCs w:val="0"/>
                <w:caps w:val="0"/>
                <w:color w:val="auto"/>
                <w:spacing w:val="0"/>
                <w:sz w:val="24"/>
                <w:szCs w:val="24"/>
                <w:shd w:val="clear" w:fill="FFFFFF"/>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theme="minorBidi"/>
                <w:color w:val="auto"/>
                <w:kern w:val="2"/>
                <w:sz w:val="24"/>
                <w:szCs w:val="24"/>
                <w:lang w:val="en-US" w:eastAsia="zh-CN" w:bidi="ar-SA"/>
              </w:rPr>
            </w:pP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_GB2312" w:eastAsia="仿宋_GB2312"/>
                <w:color w:val="auto"/>
                <w:sz w:val="24"/>
                <w:szCs w:val="24"/>
                <w:lang w:val="en-US" w:eastAsia="zh-CN"/>
              </w:rPr>
            </w:pP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其中8人为2025年计划数</w:t>
            </w:r>
          </w:p>
        </w:tc>
      </w:tr>
    </w:tbl>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
        </w:rPr>
        <w:t>三、工作地点及薪酬福利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color w:val="auto"/>
          <w:sz w:val="32"/>
          <w:szCs w:val="32"/>
        </w:rPr>
      </w:pPr>
      <w:r>
        <w:rPr>
          <w:rStyle w:val="9"/>
          <w:rFonts w:hint="eastAsia" w:ascii="楷体_GB2312" w:hAnsi="楷体_GB2312" w:eastAsia="楷体_GB2312" w:cs="楷体_GB2312"/>
          <w:b w:val="0"/>
          <w:bCs/>
          <w:color w:val="auto"/>
          <w:sz w:val="32"/>
          <w:szCs w:val="32"/>
          <w:lang w:eastAsia="zh-CN"/>
        </w:rPr>
        <w:t>（</w:t>
      </w:r>
      <w:r>
        <w:rPr>
          <w:rStyle w:val="9"/>
          <w:rFonts w:hint="eastAsia" w:ascii="楷体_GB2312" w:hAnsi="楷体_GB2312" w:eastAsia="楷体_GB2312" w:cs="楷体_GB2312"/>
          <w:b w:val="0"/>
          <w:bCs/>
          <w:color w:val="auto"/>
          <w:sz w:val="32"/>
          <w:szCs w:val="32"/>
        </w:rPr>
        <w:t>一）</w:t>
      </w:r>
      <w:r>
        <w:rPr>
          <w:rFonts w:hint="eastAsia" w:ascii="楷体_GB2312" w:hAnsi="楷体_GB2312" w:eastAsia="楷体_GB2312" w:cs="楷体_GB2312"/>
          <w:b w:val="0"/>
          <w:bCs/>
          <w:color w:val="auto"/>
          <w:sz w:val="32"/>
          <w:szCs w:val="32"/>
        </w:rPr>
        <w:t>工作地点</w:t>
      </w:r>
      <w:r>
        <w:rPr>
          <w:rFonts w:hint="eastAsia" w:ascii="仿宋_GB2312" w:hAnsi="仿宋_GB2312" w:eastAsia="仿宋_GB2312" w:cs="仿宋_GB2312"/>
          <w:color w:val="auto"/>
          <w:sz w:val="32"/>
          <w:szCs w:val="32"/>
        </w:rPr>
        <w:t>：福建省南平市</w:t>
      </w:r>
      <w:r>
        <w:rPr>
          <w:rFonts w:hint="eastAsia" w:ascii="仿宋_GB2312" w:hAnsi="仿宋_GB2312" w:eastAsia="仿宋_GB2312" w:cs="仿宋_GB2312"/>
          <w:color w:val="auto"/>
          <w:sz w:val="32"/>
          <w:szCs w:val="32"/>
          <w:lang w:val="en-US" w:eastAsia="zh-CN"/>
        </w:rPr>
        <w:t>邵武</w:t>
      </w:r>
      <w:r>
        <w:rPr>
          <w:rFonts w:hint="eastAsia" w:ascii="仿宋_GB2312" w:hAnsi="仿宋_GB2312" w:eastAsia="仿宋_GB2312" w:cs="仿宋_GB2312"/>
          <w:color w:val="auto"/>
          <w:sz w:val="32"/>
          <w:szCs w:val="32"/>
        </w:rPr>
        <w:t>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工作时间：</w:t>
      </w:r>
      <w:r>
        <w:rPr>
          <w:rFonts w:hint="eastAsia" w:ascii="仿宋_GB2312" w:hAnsi="仿宋_GB2312" w:eastAsia="仿宋_GB2312" w:cs="仿宋_GB2312"/>
          <w:color w:val="auto"/>
          <w:sz w:val="32"/>
          <w:szCs w:val="32"/>
          <w:lang w:val="en-US" w:eastAsia="zh-CN"/>
        </w:rPr>
        <w:t>8小时工作制，周末双休。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color w:val="auto"/>
        </w:rPr>
      </w:pPr>
      <w:r>
        <w:rPr>
          <w:rStyle w:val="9"/>
          <w:rFonts w:hint="eastAsia" w:ascii="楷体_GB2312" w:hAnsi="楷体_GB2312" w:eastAsia="楷体_GB2312" w:cs="楷体_GB2312"/>
          <w:color w:val="auto"/>
          <w:sz w:val="32"/>
          <w:szCs w:val="32"/>
        </w:rPr>
        <w:t>（</w:t>
      </w:r>
      <w:r>
        <w:rPr>
          <w:rStyle w:val="9"/>
          <w:rFonts w:hint="eastAsia" w:ascii="楷体_GB2312" w:hAnsi="楷体_GB2312" w:eastAsia="楷体_GB2312" w:cs="楷体_GB2312"/>
          <w:color w:val="auto"/>
          <w:sz w:val="32"/>
          <w:szCs w:val="32"/>
          <w:lang w:val="en-US" w:eastAsia="zh-CN"/>
        </w:rPr>
        <w:t>三</w:t>
      </w:r>
      <w:r>
        <w:rPr>
          <w:rStyle w:val="9"/>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rPr>
        <w:t>薪酬福利</w:t>
      </w:r>
      <w:r>
        <w:rPr>
          <w:rFonts w:hint="eastAsia" w:ascii="仿宋_GB2312" w:hAnsi="仿宋_GB2312" w:eastAsia="仿宋_GB2312" w:cs="仿宋_GB2312"/>
          <w:color w:val="auto"/>
          <w:sz w:val="32"/>
          <w:szCs w:val="32"/>
        </w:rPr>
        <w:t>：薪酬标准按</w:t>
      </w:r>
      <w:r>
        <w:rPr>
          <w:rFonts w:hint="eastAsia" w:ascii="仿宋_GB2312" w:hAnsi="仿宋_GB2312" w:eastAsia="仿宋_GB2312" w:cs="仿宋_GB2312"/>
          <w:color w:val="auto"/>
          <w:sz w:val="32"/>
          <w:szCs w:val="32"/>
          <w:lang w:val="en-US" w:eastAsia="zh-CN"/>
        </w:rPr>
        <w:t>邵化</w:t>
      </w:r>
      <w:r>
        <w:rPr>
          <w:rFonts w:hint="eastAsia" w:ascii="仿宋_GB2312" w:hAnsi="仿宋_GB2312" w:eastAsia="仿宋_GB2312" w:cs="仿宋_GB2312"/>
          <w:color w:val="auto"/>
          <w:sz w:val="32"/>
          <w:szCs w:val="32"/>
        </w:rPr>
        <w:t>公司有关规定执行，完善的福利保障包括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险</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金、带薪年假、</w:t>
      </w:r>
      <w:r>
        <w:rPr>
          <w:rFonts w:hint="eastAsia" w:ascii="仿宋_GB2312" w:hAnsi="仿宋_GB2312" w:eastAsia="仿宋_GB2312" w:cs="仿宋_GB2312"/>
          <w:color w:val="auto"/>
          <w:sz w:val="32"/>
          <w:szCs w:val="32"/>
          <w:lang w:val="en-US" w:eastAsia="zh-CN"/>
        </w:rPr>
        <w:t>节日福利、</w:t>
      </w:r>
      <w:r>
        <w:rPr>
          <w:rFonts w:hint="eastAsia" w:ascii="仿宋_GB2312" w:hAnsi="仿宋_GB2312" w:eastAsia="仿宋_GB2312" w:cs="仿宋_GB2312"/>
          <w:b w:val="0"/>
          <w:bCs w:val="0"/>
          <w:color w:val="auto"/>
          <w:sz w:val="32"/>
          <w:szCs w:val="32"/>
          <w:vertAlign w:val="baseline"/>
          <w:lang w:val="en-US" w:eastAsia="zh-CN"/>
        </w:rPr>
        <w:t>免费午餐、</w:t>
      </w:r>
      <w:r>
        <w:rPr>
          <w:rFonts w:hint="eastAsia" w:ascii="仿宋_GB2312" w:hAnsi="仿宋_GB2312" w:eastAsia="仿宋_GB2312" w:cs="仿宋_GB2312"/>
          <w:color w:val="auto"/>
          <w:sz w:val="32"/>
          <w:szCs w:val="32"/>
          <w:lang w:val="en-US" w:eastAsia="zh-CN"/>
        </w:rPr>
        <w:t>交通</w:t>
      </w:r>
      <w:r>
        <w:rPr>
          <w:rFonts w:hint="eastAsia" w:ascii="仿宋_GB2312" w:hAnsi="仿宋_GB2312" w:eastAsia="仿宋_GB2312" w:cs="仿宋_GB2312"/>
          <w:color w:val="auto"/>
          <w:sz w:val="32"/>
          <w:szCs w:val="32"/>
        </w:rPr>
        <w:t>补贴、工会福利、定期体检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vertAlign w:val="baseline"/>
          <w:lang w:val="en-US" w:eastAsia="zh-CN"/>
        </w:rPr>
        <w:t>文体活动、职业发展培训</w:t>
      </w:r>
      <w:r>
        <w:rPr>
          <w:rFonts w:hint="eastAsia" w:ascii="仿宋_GB2312" w:hAnsi="仿宋_GB2312" w:eastAsia="仿宋_GB2312" w:cs="仿宋_GB2312"/>
          <w:color w:val="auto"/>
          <w:sz w:val="32"/>
          <w:szCs w:val="32"/>
        </w:rPr>
        <w:t>等。</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住房补贴：</w:t>
      </w:r>
      <w:r>
        <w:rPr>
          <w:rFonts w:hint="eastAsia" w:ascii="仿宋_GB2312" w:hAnsi="仿宋_GB2312" w:eastAsia="仿宋_GB2312" w:cs="仿宋_GB2312"/>
          <w:color w:val="auto"/>
          <w:sz w:val="32"/>
          <w:szCs w:val="32"/>
          <w:lang w:val="en-US" w:eastAsia="zh-CN"/>
        </w:rPr>
        <w:t>按照邵武市委有关引进人才政策执行。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全日制博士每人补贴1000元/月，全日制硕士每人补贴700元/月，全日制本科生每人补贴500元/月（每月租房补贴最高不超过实际租房价格）。</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04"/>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（五）人才奖励房及购房补助：</w:t>
      </w:r>
      <w:r>
        <w:rPr>
          <w:rFonts w:hint="eastAsia" w:ascii="仿宋_GB2312" w:hAnsi="仿宋_GB2312" w:eastAsia="仿宋_GB2312" w:cs="仿宋_GB2312"/>
          <w:color w:val="auto"/>
          <w:sz w:val="32"/>
          <w:szCs w:val="32"/>
          <w:lang w:val="en-US" w:eastAsia="zh-CN"/>
        </w:rPr>
        <w:t>按照邵武市委有关引进人才</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政策执行。全日制博士可享受购房补助（400元/平米）或市区人才奖励房（不超过80平米）；全日制硕士可享受购房补助（300元/平米）或市区人才奖励房（不超过60平米）。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（六）人才补贴：</w:t>
      </w:r>
      <w:r>
        <w:rPr>
          <w:rFonts w:hint="eastAsia" w:ascii="仿宋_GB2312" w:hAnsi="仿宋_GB2312" w:eastAsia="仿宋_GB2312" w:cs="仿宋_GB2312"/>
          <w:color w:val="auto"/>
          <w:sz w:val="32"/>
          <w:szCs w:val="32"/>
          <w:lang w:val="en-US" w:eastAsia="zh-CN"/>
        </w:rPr>
        <w:t>按照邵武市委有关引进人才政策执行。全日制博士每人补贴10万元，全日制硕士每人补贴7万元，全日制本科生每人补贴2万元。</w:t>
      </w:r>
    </w:p>
    <w:p>
      <w:pPr>
        <w:keepNext w:val="0"/>
        <w:keepLines w:val="0"/>
        <w:pageBreakBefore w:val="0"/>
        <w:kinsoku/>
        <w:wordWrap/>
        <w:overflowPunct/>
        <w:topLinePunct w:val="0"/>
        <w:autoSpaceDE/>
        <w:autoSpaceDN/>
        <w:bidi w:val="0"/>
        <w:adjustRightInd/>
        <w:snapToGrid/>
        <w:spacing w:line="560" w:lineRule="exact"/>
        <w:ind w:left="959" w:leftChars="152" w:hanging="640" w:hanging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958" w:leftChars="304" w:hanging="320" w:hanging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联系电话：1</w:t>
      </w:r>
      <w:r>
        <w:rPr>
          <w:rFonts w:hint="eastAsia" w:ascii="仿宋_GB2312" w:hAnsi="仿宋_GB2312" w:eastAsia="仿宋_GB2312" w:cs="仿宋_GB2312"/>
          <w:color w:val="auto"/>
          <w:sz w:val="32"/>
          <w:szCs w:val="32"/>
          <w:lang w:val="en-US" w:eastAsia="zh-CN"/>
        </w:rPr>
        <w:t>5280522275  联系人：米先生</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邮箱投递：614102992@qq.com</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福建邵化化工有限公司热忱期盼您的加入！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福建邵化化工有限公司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2025年11月10日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92D00F"/>
    <w:multiLevelType w:val="singleLevel"/>
    <w:tmpl w:val="7292D00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A01AF"/>
    <w:rsid w:val="0D1819CA"/>
    <w:rsid w:val="0DA10171"/>
    <w:rsid w:val="0FB03261"/>
    <w:rsid w:val="112A06D2"/>
    <w:rsid w:val="127E7D1A"/>
    <w:rsid w:val="13AD1785"/>
    <w:rsid w:val="14E32E4D"/>
    <w:rsid w:val="159466FA"/>
    <w:rsid w:val="16EB079E"/>
    <w:rsid w:val="19324359"/>
    <w:rsid w:val="1D303E62"/>
    <w:rsid w:val="1DA5689F"/>
    <w:rsid w:val="23694099"/>
    <w:rsid w:val="23E56290"/>
    <w:rsid w:val="2497134E"/>
    <w:rsid w:val="280B1286"/>
    <w:rsid w:val="2CA511CB"/>
    <w:rsid w:val="2D477613"/>
    <w:rsid w:val="33912922"/>
    <w:rsid w:val="34C94C6E"/>
    <w:rsid w:val="36984298"/>
    <w:rsid w:val="373D45A1"/>
    <w:rsid w:val="3A645705"/>
    <w:rsid w:val="3E0B02BF"/>
    <w:rsid w:val="3FC83C6A"/>
    <w:rsid w:val="41CC7170"/>
    <w:rsid w:val="42DC757C"/>
    <w:rsid w:val="44300E5F"/>
    <w:rsid w:val="44E02C31"/>
    <w:rsid w:val="4AC10529"/>
    <w:rsid w:val="4D811E89"/>
    <w:rsid w:val="5019769E"/>
    <w:rsid w:val="53B2454C"/>
    <w:rsid w:val="55853A7A"/>
    <w:rsid w:val="578671A8"/>
    <w:rsid w:val="58380D8C"/>
    <w:rsid w:val="5AC91540"/>
    <w:rsid w:val="5BF61ECE"/>
    <w:rsid w:val="604D6C6E"/>
    <w:rsid w:val="60CC52B0"/>
    <w:rsid w:val="6AE8451A"/>
    <w:rsid w:val="70D43C7C"/>
    <w:rsid w:val="71AB6006"/>
    <w:rsid w:val="741477B0"/>
    <w:rsid w:val="79736B33"/>
    <w:rsid w:val="7B3B11D7"/>
    <w:rsid w:val="7E27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1208</Words>
  <Characters>1284</Characters>
  <Lines>0</Lines>
  <Paragraphs>0</Paragraphs>
  <TotalTime>45</TotalTime>
  <ScaleCrop>false</ScaleCrop>
  <LinksUpToDate>false</LinksUpToDate>
  <CharactersWithSpaces>1291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2024-11-28T06:19:00Z</dcterms:created>
  <dc:creator>Administrator</dc:creator>
  <cp:lastModifiedBy>米文明</cp:lastModifiedBy>
  <dcterms:modified xsi:type="dcterms:W3CDTF">2025-11-17T01:51:13Z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DBF17504D51A45399C29CD04C33038DA</vt:lpwstr>
  </property>
  <property fmtid="{D5CDD505-2E9C-101B-9397-08002B2CF9AE}" pid="4" name="KSOTemplateDocerSaveRecord">
    <vt:lpwstr>eyJoZGlkIjoiMmM3YzY1ZWZjZDNhYTE5MDU2OWVkMWE3MWFlOTZlODQiLCJ1c2VySWQiOiI2NTc2NTA4NTcifQ==</vt:lpwstr>
  </property>
</Properties>
</file>